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Calibri" w:hAnsi="Calibri" w:cs="Calibri"/>
          <w:sz w:val="21"/>
          <w:szCs w:val="21"/>
        </w:rPr>
      </w:pPr>
      <w:bookmarkStart w:id="0" w:name="_GoBack"/>
      <w:bookmarkEnd w:id="0"/>
      <w:r>
        <w:rPr>
          <w:rFonts w:ascii="仿宋_GB2312" w:hAnsi="Calibri" w:eastAsia="仿宋_GB2312" w:cs="仿宋_GB2312"/>
          <w:sz w:val="32"/>
          <w:szCs w:val="32"/>
          <w:bdr w:val="none" w:color="auto" w:sz="0" w:space="0"/>
        </w:rPr>
        <w:t>附1：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b/>
          <w:sz w:val="32"/>
          <w:szCs w:val="32"/>
          <w:bdr w:val="none" w:color="auto" w:sz="0" w:space="0"/>
        </w:rPr>
        <w:t>资产评估机构首次从事证券服务业务备案表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资产评估机构名称： 填报日期： 年 月 日</w:t>
      </w:r>
    </w:p>
    <w:tbl>
      <w:tblPr>
        <w:tblW w:w="8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7"/>
        <w:gridCol w:w="1168"/>
        <w:gridCol w:w="456"/>
        <w:gridCol w:w="642"/>
        <w:gridCol w:w="2014"/>
        <w:gridCol w:w="691"/>
        <w:gridCol w:w="1333"/>
        <w:gridCol w:w="1045"/>
        <w:gridCol w:w="363"/>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时间</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gridSpan w:val="2"/>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设立备案机关</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公函日期</w:t>
            </w:r>
          </w:p>
        </w:tc>
        <w:tc>
          <w:tcPr>
            <w:tcW w:w="0" w:type="auto"/>
            <w:gridSpan w:val="2"/>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公函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编号</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0" w:type="auto"/>
            <w:gridSpan w:val="2"/>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注册资本（万元）</w:t>
            </w: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法定代表人（执行合伙事务的合伙人）</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法定代表人（执行合伙事务的合伙人）电话</w:t>
            </w: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0" w:type="auto"/>
            <w:gridSpan w:val="2"/>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监管联系人</w:t>
            </w: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监管联系人职务</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监管联系人电话</w:t>
            </w: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0" w:type="auto"/>
            <w:gridSpan w:val="2"/>
            <w:tcBorders>
              <w:left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监管联系人传真</w:t>
            </w: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监管联系人电子邮箱</w:t>
            </w:r>
          </w:p>
        </w:tc>
        <w:tc>
          <w:tcPr>
            <w:tcW w:w="0" w:type="auto"/>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负责执业质量控制的股东（合伙人）</w:t>
            </w: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9" w:hRule="atLeast"/>
        </w:trPr>
        <w:tc>
          <w:tcPr>
            <w:tcW w:w="0" w:type="auto"/>
            <w:gridSpan w:val="2"/>
            <w:tcBorders>
              <w:left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负责执业质量控制的股东（合伙人）电话</w:t>
            </w:r>
          </w:p>
        </w:tc>
        <w:tc>
          <w:tcPr>
            <w:tcW w:w="0" w:type="auto"/>
            <w:gridSpan w:val="3"/>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注册地</w:t>
            </w:r>
          </w:p>
        </w:tc>
        <w:tc>
          <w:tcPr>
            <w:tcW w:w="0" w:type="auto"/>
            <w:gridSpan w:val="4"/>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0" w:type="auto"/>
            <w:gridSpan w:val="2"/>
            <w:tcBorders>
              <w:left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通 讯 地 址</w:t>
            </w:r>
          </w:p>
        </w:tc>
        <w:tc>
          <w:tcPr>
            <w:tcW w:w="0" w:type="auto"/>
            <w:gridSpan w:val="4"/>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邮政编码</w:t>
            </w: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2"/>
            <w:tcBorders>
              <w:left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统一社会信用代码</w:t>
            </w:r>
          </w:p>
        </w:tc>
        <w:tc>
          <w:tcPr>
            <w:tcW w:w="0" w:type="auto"/>
            <w:gridSpan w:val="8"/>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72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2"/>
            <w:tcBorders>
              <w:left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资产评估机构员工总数</w:t>
            </w: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720"/>
              <w:jc w:val="left"/>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资产评估师总数</w:t>
            </w:r>
          </w:p>
        </w:tc>
        <w:tc>
          <w:tcPr>
            <w:tcW w:w="0" w:type="auto"/>
            <w:gridSpan w:val="4"/>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72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上一年度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业务收入</w:t>
            </w:r>
          </w:p>
        </w:tc>
        <w:tc>
          <w:tcPr>
            <w:tcW w:w="0" w:type="auto"/>
            <w:gridSpan w:val="3"/>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万元</w:t>
            </w:r>
          </w:p>
        </w:tc>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上年末净资产</w:t>
            </w:r>
          </w:p>
        </w:tc>
        <w:tc>
          <w:tcPr>
            <w:tcW w:w="0" w:type="auto"/>
            <w:gridSpan w:val="3"/>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累计职业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风险基金</w:t>
            </w:r>
          </w:p>
        </w:tc>
        <w:tc>
          <w:tcPr>
            <w:tcW w:w="0" w:type="auto"/>
            <w:gridSpan w:val="3"/>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万元</w:t>
            </w:r>
          </w:p>
        </w:tc>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保险合同有效期内职业保险累计赔偿限额</w:t>
            </w:r>
          </w:p>
        </w:tc>
        <w:tc>
          <w:tcPr>
            <w:tcW w:w="0" w:type="auto"/>
            <w:gridSpan w:val="3"/>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分支机构名称</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注册地</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负责人</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监管联系人</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监管联系人电话</w:t>
            </w:r>
          </w:p>
        </w:tc>
        <w:tc>
          <w:tcPr>
            <w:tcW w:w="0" w:type="auto"/>
            <w:gridSpan w:val="5"/>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资产评估师总数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Calibri" w:hAnsi="Calibri" w:cs="Calibri"/>
                <w:sz w:val="21"/>
                <w:szCs w:val="21"/>
              </w:rPr>
            </w:pPr>
          </w:p>
        </w:tc>
        <w:tc>
          <w:tcPr>
            <w:tcW w:w="0" w:type="auto"/>
            <w:gridSpan w:val="5"/>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Calibri" w:hAnsi="Calibri" w:cs="Calibri"/>
                <w:sz w:val="21"/>
                <w:szCs w:val="21"/>
              </w:rPr>
            </w:pPr>
          </w:p>
        </w:tc>
        <w:tc>
          <w:tcPr>
            <w:tcW w:w="0" w:type="auto"/>
            <w:gridSpan w:val="5"/>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0" w:type="auto"/>
            <w:gridSpan w:val="5"/>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合计</w:t>
            </w:r>
          </w:p>
        </w:tc>
        <w:tc>
          <w:tcPr>
            <w:tcW w:w="0" w:type="auto"/>
            <w:gridSpan w:val="5"/>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10"/>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本机构承诺提交的备案材料真实、准确、完整，不存在虚假记载、误导性陈述或重大遗漏。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Calibri" w:hAnsi="Calibri" w:cs="Calibri"/>
          <w:sz w:val="18"/>
          <w:szCs w:val="18"/>
          <w:bdr w:val="none" w:color="auto" w:sz="0" w:space="0"/>
        </w:rPr>
        <w:t>1 </w:t>
      </w:r>
    </w:p>
    <w:p>
      <w:pPr>
        <w:keepNext w:val="0"/>
        <w:keepLines w:val="0"/>
        <w:widowControl/>
        <w:suppressLineNumbers w:val="0"/>
        <w:jc w:val="left"/>
      </w:pPr>
      <w:r>
        <w:rPr>
          <w:rFonts w:ascii="宋体" w:hAnsi="宋体" w:eastAsia="宋体" w:cs="宋体"/>
          <w:kern w:val="0"/>
          <w:sz w:val="24"/>
          <w:szCs w:val="24"/>
          <w:lang w:val="en-US" w:eastAsia="zh-CN" w:bidi="ar"/>
        </w:rPr>
        <w:t>     </w:t>
      </w:r>
    </w:p>
    <w:tbl>
      <w:tblPr>
        <w:tblW w:w="8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0" w:hRule="atLeast"/>
        </w:trPr>
        <w:tc>
          <w:tcPr>
            <w:tcW w:w="0" w:type="auto"/>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法定代表人（执行合伙事务的合伙人）资产评估机构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（签章）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注：1.设立备案机关指资产评估机构设立时备案的有关评估行政管理部门。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2.资产评估机构员工总数、资产评估师总数、上一年度资产评估业务收入、上年末净资产、累计职业风险基金、保险合同有效期内职业保险累计赔偿限额均包含分公司但不包含子公司。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3.注册地填写到地级市。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4.电话应包含固定电话和手机号码。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5.上一年度资产评估业务收入不含增值税。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6.分支机构包括分公司、子公司等。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7.如无特别说明，本附表中，人数、金额按截至备案申请上月末数字填列。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Calibri" w:hAnsi="Calibri" w:cs="Calibri"/>
          <w:sz w:val="18"/>
          <w:szCs w:val="18"/>
          <w:bdr w:val="none" w:color="auto" w:sz="0" w:space="0"/>
        </w:rPr>
        <w:t>2 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附2：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b/>
          <w:sz w:val="32"/>
          <w:szCs w:val="32"/>
          <w:bdr w:val="none" w:color="auto" w:sz="0" w:space="0"/>
        </w:rPr>
        <w:t>资产评估师及股东（合伙人）情况表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资产评估机构名称（盖章）： 填报基准日: 年 月 日（备案申请上月末）填报日期: 年 月 日</w:t>
      </w:r>
    </w:p>
    <w:tbl>
      <w:tblPr>
        <w:tblW w:w="14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7"/>
        <w:gridCol w:w="385"/>
        <w:gridCol w:w="500"/>
        <w:gridCol w:w="500"/>
        <w:gridCol w:w="653"/>
        <w:gridCol w:w="347"/>
        <w:gridCol w:w="1573"/>
        <w:gridCol w:w="653"/>
        <w:gridCol w:w="807"/>
        <w:gridCol w:w="1037"/>
        <w:gridCol w:w="960"/>
        <w:gridCol w:w="922"/>
        <w:gridCol w:w="1037"/>
        <w:gridCol w:w="1123"/>
        <w:gridCol w:w="1468"/>
        <w:gridCol w:w="500"/>
        <w:gridCol w:w="893"/>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序号</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姓 名</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证件类型</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证件号码</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所在分支机构</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时间</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资产评估师职业资格证书登记卡登记编号</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初次登记时间</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最近连续执业时间</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是否从事过证券服务业务</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是否担任质量控制人员</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是否为公司高管成 员</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在公司高管中的分工情况</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是否为股东（合伙人）</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担任股东（合伙人）的起始时 间</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出资性质</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出资额（万元）</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25" w:right="0" w:hanging="525"/>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注：1.该表中资产评估师包含分公司但不包含子公司，资产评估师按照登记时间的先后顺序填写。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2.所在分支机构填写资产评估机构或分支机构的全称。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3.资产评估师有身份证的，身份证件类型必须填写身份证。股东（合伙人）为自然人的，有身份证的，身份证件类型必须填写身份证。股东（合伙人）为法人的，身份证件类型为统一社会信用代码。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4.初次登记时间、担任股东（合伙人）的起始时间格式为年-月-日。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5.最近连续执业时间精确到月。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6.全部资产评估师及股东（合伙人）均应填写该表，如股东（合伙人）不是资产评估师，无需填写资产评估师职业资格证书登记卡登记编号、初次登记时间、最近连续执业时间。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7.从事过证券服务业务是指曾在证券服务业务报告上签字。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Calibri" w:hAnsi="Calibri" w:cs="Calibri"/>
          <w:sz w:val="18"/>
          <w:szCs w:val="18"/>
          <w:bdr w:val="none" w:color="auto" w:sz="0" w:space="0"/>
        </w:rPr>
        <w:t>3 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8.质量控制人员是指资产评估机构质量控制部门人员或负责执业质量控制的股东（合伙人）。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9.出资性质包括自然人与法人。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10.持股比例需带％并保留小数点后两位，比如52.35％。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Calibri" w:hAnsi="Calibri" w:cs="Calibri"/>
          <w:sz w:val="18"/>
          <w:szCs w:val="18"/>
          <w:bdr w:val="none" w:color="auto" w:sz="0" w:space="0"/>
        </w:rPr>
        <w:t>4 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附3：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b/>
          <w:sz w:val="32"/>
          <w:szCs w:val="32"/>
          <w:bdr w:val="none" w:color="auto" w:sz="0" w:space="0"/>
        </w:rPr>
        <w:t>资产评估机构及其专业人员处罚处理情况表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4C4E52"/>
          <w:sz w:val="22"/>
          <w:szCs w:val="22"/>
        </w:rPr>
      </w:pPr>
      <w:r>
        <w:rPr>
          <w:rFonts w:hint="default" w:ascii="仿宋_GB2312" w:hAnsi="宋体" w:eastAsia="仿宋_GB2312" w:cs="仿宋_GB2312"/>
          <w:color w:val="000000"/>
          <w:sz w:val="24"/>
          <w:szCs w:val="24"/>
          <w:bdr w:val="none" w:color="auto" w:sz="0" w:space="0"/>
        </w:rPr>
        <w:t>资产评估机构名称（盖章）： 填报日期： 年 月 日</w:t>
      </w:r>
    </w:p>
    <w:tbl>
      <w:tblPr>
        <w:tblW w:w="13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74"/>
        <w:gridCol w:w="1572"/>
        <w:gridCol w:w="546"/>
        <w:gridCol w:w="546"/>
        <w:gridCol w:w="1572"/>
        <w:gridCol w:w="2086"/>
        <w:gridCol w:w="2086"/>
        <w:gridCol w:w="1059"/>
        <w:gridCol w:w="1572"/>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7" w:hRule="atLeast"/>
        </w:trPr>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序 号</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处罚处理对象</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类型</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号码</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处罚处理类型</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处罚处理决定文号</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处罚处理决定名称</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处罚处理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机关</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处罚处理日期</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处罚处理事由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2"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C4E52"/>
                <w:sz w:val="22"/>
                <w:szCs w:val="2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25" w:right="0" w:hanging="525"/>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注：1.处罚处理对象包括资产评估机构及其专业人员。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2.处罚处理对象为资产评估机构的，证件类型为统一社会信用代码；处罚处理对象为专业人员的需填写具体姓名，有身份证的，身份证件类型必须填写身份证。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3.处罚处理类型包括被立案调查、被司法机关侦查、刑事处罚、行政处罚、监督管理措施、行业协会自律惩戒、交易所自律监管措施与交易所纪律处分，按上述处罚处理类型顺序进行排序，同一处罚处理类型按照处罚处理日期先后顺序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15" w:right="0"/>
        <w:jc w:val="left"/>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Calibri" w:hAnsi="Calibri" w:cs="Calibri"/>
          <w:sz w:val="18"/>
          <w:szCs w:val="18"/>
          <w:bdr w:val="none" w:color="auto" w:sz="0" w:space="0"/>
        </w:rPr>
        <w:t>5 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附4：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Calibri" w:hAnsi="Calibri" w:cs="Calibri"/>
          <w:sz w:val="21"/>
          <w:szCs w:val="21"/>
        </w:rPr>
      </w:pPr>
      <w:r>
        <w:rPr>
          <w:rFonts w:hint="default" w:ascii="仿宋_GB2312" w:hAnsi="Calibri" w:eastAsia="仿宋_GB2312" w:cs="仿宋_GB2312"/>
          <w:b/>
          <w:sz w:val="32"/>
          <w:szCs w:val="32"/>
          <w:bdr w:val="none" w:color="auto" w:sz="0" w:space="0"/>
        </w:rPr>
        <w:t>资产评估机构从事证券服务业务年度备案表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428"/>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资产评估机构名称： 填报日期: 年 月 日</w:t>
      </w:r>
    </w:p>
    <w:tbl>
      <w:tblPr>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47"/>
        <w:gridCol w:w="714"/>
        <w:gridCol w:w="551"/>
        <w:gridCol w:w="876"/>
        <w:gridCol w:w="1087"/>
        <w:gridCol w:w="443"/>
        <w:gridCol w:w="1688"/>
        <w:gridCol w:w="164"/>
        <w:gridCol w:w="164"/>
        <w:gridCol w:w="1135"/>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上年末员工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总数</w:t>
            </w:r>
          </w:p>
        </w:tc>
        <w:tc>
          <w:tcPr>
            <w:tcW w:w="0" w:type="auto"/>
            <w:gridSpan w:val="4"/>
            <w:tcBorders>
              <w:top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3"/>
            <w:tcBorders>
              <w:top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上年末资产评估师总数</w:t>
            </w:r>
          </w:p>
        </w:tc>
        <w:tc>
          <w:tcPr>
            <w:tcW w:w="0" w:type="auto"/>
            <w:gridSpan w:val="3"/>
            <w:tcBorders>
              <w:top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54"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上一年度股东（合伙人）变动情况</w:t>
            </w:r>
          </w:p>
        </w:tc>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仿宋_GB2312" w:hAnsi="Calibri" w:eastAsia="仿宋_GB2312" w:cs="仿宋_GB2312"/>
                <w:sz w:val="24"/>
                <w:szCs w:val="24"/>
                <w:bdr w:val="none" w:color="auto" w:sz="0" w:space="0"/>
              </w:rPr>
              <w:t>新增</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姓名</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持股比例</w:t>
            </w:r>
          </w:p>
        </w:tc>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上年末净资产（万元）</w:t>
            </w:r>
          </w:p>
        </w:tc>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上一年度资产评估业务收入（万元）</w:t>
            </w:r>
            <w:r>
              <w:rPr>
                <w:rFonts w:hint="default" w:ascii="Calibri" w:hAnsi="Calibri" w:cs="Calibri"/>
                <w:sz w:val="21"/>
                <w:szCs w:val="21"/>
                <w:bdr w:val="none" w:color="auto" w:sz="0" w:space="0"/>
              </w:rPr>
              <w:t> </w:t>
            </w:r>
          </w:p>
        </w:tc>
        <w:tc>
          <w:tcPr>
            <w:tcW w:w="0" w:type="auto"/>
            <w:gridSpan w:val="2"/>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上一年度业务收入（万元）</w:t>
            </w:r>
            <w:r>
              <w:rPr>
                <w:rFonts w:hint="default" w:ascii="Calibri" w:hAnsi="Calibri" w:cs="Calibri"/>
                <w:sz w:val="21"/>
                <w:szCs w:val="21"/>
                <w:bdr w:val="none" w:color="auto" w:sz="0" w:space="0"/>
              </w:rPr>
              <w:t> </w:t>
            </w:r>
          </w:p>
        </w:tc>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4"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gridSpan w:val="2"/>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8"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退出</w:t>
            </w: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姓名</w:t>
            </w: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持股比例</w:t>
            </w:r>
          </w:p>
        </w:tc>
        <w:tc>
          <w:tcPr>
            <w:tcW w:w="0" w:type="auto"/>
            <w:vMerge w:val="restart"/>
            <w:tcBorders>
              <w:left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上一年度证券服务业务收入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（万元）</w:t>
            </w:r>
          </w:p>
        </w:tc>
        <w:tc>
          <w:tcPr>
            <w:tcW w:w="0" w:type="auto"/>
            <w:vMerge w:val="restart"/>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3"/>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保险合同有效期内职业保险累计赔偿限额（万元）</w:t>
            </w:r>
          </w:p>
        </w:tc>
        <w:tc>
          <w:tcPr>
            <w:tcW w:w="0" w:type="auto"/>
            <w:gridSpan w:val="2"/>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9"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vMerge w:val="continue"/>
            <w:tcBorders>
              <w:left w:val="single" w:color="000000" w:sz="8" w:space="0"/>
              <w:bottom w:val="nil"/>
              <w:right w:val="single" w:color="000000" w:sz="8" w:space="0"/>
            </w:tcBorders>
            <w:shd w:val="clear"/>
            <w:vAlign w:val="center"/>
          </w:tcPr>
          <w:p>
            <w:pPr>
              <w:rPr>
                <w:rFonts w:hint="eastAsia" w:ascii="宋体"/>
                <w:sz w:val="24"/>
                <w:szCs w:val="24"/>
              </w:rPr>
            </w:pPr>
          </w:p>
        </w:tc>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gridSpan w:val="3"/>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累计职业风险基金（万元）</w:t>
            </w:r>
          </w:p>
        </w:tc>
        <w:tc>
          <w:tcPr>
            <w:tcW w:w="0" w:type="auto"/>
            <w:gridSpan w:val="2"/>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9" w:hRule="atLeast"/>
        </w:trPr>
        <w:tc>
          <w:tcPr>
            <w:tcW w:w="0" w:type="auto"/>
            <w:gridSpan w:val="4"/>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仿宋_GB2312" w:hAnsi="Calibri" w:eastAsia="仿宋_GB2312" w:cs="仿宋_GB2312"/>
                <w:sz w:val="24"/>
                <w:szCs w:val="24"/>
                <w:bdr w:val="none" w:color="auto" w:sz="0" w:space="0"/>
              </w:rPr>
              <w:t>资产评估师与员工总数变动情况</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上年初</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上年转入</w:t>
            </w:r>
          </w:p>
        </w:tc>
        <w:tc>
          <w:tcPr>
            <w:tcW w:w="0" w:type="auto"/>
            <w:gridSpan w:val="3"/>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上年转出</w:t>
            </w:r>
          </w:p>
        </w:tc>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上年末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0" w:type="auto"/>
            <w:gridSpan w:val="4"/>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资产评估师总数</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3"/>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0" w:type="auto"/>
            <w:gridSpan w:val="4"/>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sz w:val="24"/>
                <w:szCs w:val="24"/>
                <w:bdr w:val="none" w:color="auto" w:sz="0" w:space="0"/>
              </w:rPr>
              <w:t>员工总数</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3"/>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0" w:type="auto"/>
            <w:tcBorders>
              <w:left w:val="single" w:color="000000" w:sz="8" w:space="0"/>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sz w:val="24"/>
                <w:szCs w:val="24"/>
                <w:bdr w:val="none" w:color="auto" w:sz="0" w:space="0"/>
              </w:rPr>
              <w:t>监管联系人</w:t>
            </w:r>
          </w:p>
        </w:tc>
        <w:tc>
          <w:tcPr>
            <w:tcW w:w="0" w:type="auto"/>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职务</w:t>
            </w:r>
          </w:p>
        </w:tc>
        <w:tc>
          <w:tcPr>
            <w:tcW w:w="0" w:type="auto"/>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电话</w:t>
            </w:r>
          </w:p>
        </w:tc>
        <w:tc>
          <w:tcPr>
            <w:tcW w:w="0" w:type="auto"/>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邮箱</w:t>
            </w:r>
          </w:p>
        </w:tc>
        <w:tc>
          <w:tcPr>
            <w:tcW w:w="0" w:type="auto"/>
            <w:gridSpan w:val="2"/>
            <w:tcBorders>
              <w:bottom w:val="nil"/>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sz w:val="24"/>
                <w:szCs w:val="24"/>
                <w:bdr w:val="none" w:color="auto" w:sz="0" w:space="0"/>
              </w:rPr>
              <w:t>分支机构名称</w:t>
            </w:r>
          </w:p>
        </w:tc>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注册地</w:t>
            </w:r>
          </w:p>
        </w:tc>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负责人</w:t>
            </w:r>
          </w:p>
        </w:tc>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仿宋_GB2312" w:hAnsi="Calibri" w:eastAsia="仿宋_GB2312" w:cs="仿宋_GB2312"/>
                <w:sz w:val="24"/>
                <w:szCs w:val="24"/>
                <w:bdr w:val="none" w:color="auto" w:sz="0" w:space="0"/>
              </w:rPr>
              <w:t>监管联系人</w:t>
            </w:r>
          </w:p>
        </w:tc>
        <w:tc>
          <w:tcPr>
            <w:tcW w:w="0" w:type="auto"/>
            <w:gridSpan w:val="3"/>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仿宋_GB2312" w:hAnsi="Calibri" w:eastAsia="仿宋_GB2312" w:cs="仿宋_GB2312"/>
                <w:sz w:val="24"/>
                <w:szCs w:val="24"/>
                <w:bdr w:val="none" w:color="auto" w:sz="0" w:space="0"/>
              </w:rPr>
              <w:t>监管联系人电话</w:t>
            </w:r>
          </w:p>
        </w:tc>
        <w:tc>
          <w:tcPr>
            <w:tcW w:w="0" w:type="auto"/>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资产评估师总数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3"/>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9" w:hRule="atLeast"/>
        </w:trPr>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3"/>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0" w:type="auto"/>
            <w:gridSpan w:val="9"/>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合计</w:t>
            </w:r>
          </w:p>
        </w:tc>
        <w:tc>
          <w:tcPr>
            <w:tcW w:w="0" w:type="auto"/>
            <w:gridSpan w:val="2"/>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6" w:hRule="atLeast"/>
        </w:trPr>
        <w:tc>
          <w:tcPr>
            <w:tcW w:w="0" w:type="auto"/>
            <w:gridSpan w:val="4"/>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上一年度因执业行为涉嫌违法违规被立案调查或被司法机关侦查，以及因执业行为受到刑事处罚、行政处罚、监督管理措施、自律监管措施、纪律处分的情况</w:t>
            </w:r>
          </w:p>
        </w:tc>
        <w:tc>
          <w:tcPr>
            <w:tcW w:w="0" w:type="auto"/>
            <w:gridSpan w:val="7"/>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11"/>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本机构承诺提交的备案材料真实、准确、完整，不存在虚假记载、误导性陈述或重大遗漏。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left"/>
              <w:rPr>
                <w:rFonts w:hint="default" w:ascii="Calibri" w:hAnsi="Calibri" w:cs="Calibri"/>
                <w:sz w:val="21"/>
                <w:szCs w:val="21"/>
              </w:rPr>
            </w:pPr>
            <w:r>
              <w:rPr>
                <w:rFonts w:hint="default" w:ascii="仿宋_GB2312" w:hAnsi="Calibri" w:eastAsia="仿宋_GB2312" w:cs="仿宋_GB2312"/>
                <w:sz w:val="24"/>
                <w:szCs w:val="24"/>
                <w:bdr w:val="none" w:color="auto" w:sz="0" w:space="0"/>
              </w:rPr>
              <w:t>法定代表人（执行合伙事务的合伙人）资产评估机构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Calibri" w:hAnsi="Calibri" w:cs="Calibri"/>
          <w:sz w:val="18"/>
          <w:szCs w:val="18"/>
          <w:bdr w:val="none" w:color="auto" w:sz="0" w:space="0"/>
        </w:rPr>
        <w:t>6 </w:t>
      </w:r>
    </w:p>
    <w:p>
      <w:pPr>
        <w:keepNext w:val="0"/>
        <w:keepLines w:val="0"/>
        <w:widowControl/>
        <w:suppressLineNumbers w:val="0"/>
        <w:jc w:val="left"/>
      </w:pPr>
      <w:r>
        <w:rPr>
          <w:rFonts w:ascii="宋体" w:hAnsi="宋体" w:eastAsia="宋体" w:cs="宋体"/>
          <w:kern w:val="0"/>
          <w:sz w:val="24"/>
          <w:szCs w:val="24"/>
          <w:lang w:val="en-US" w:eastAsia="zh-CN" w:bidi="ar"/>
        </w:rPr>
        <w:t>     </w:t>
      </w:r>
    </w:p>
    <w:tbl>
      <w:tblPr>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0" w:type="auto"/>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560"/>
              <w:jc w:val="left"/>
              <w:rPr>
                <w:rFonts w:hint="default" w:ascii="Calibri" w:hAnsi="Calibri" w:cs="Calibri"/>
                <w:sz w:val="21"/>
                <w:szCs w:val="21"/>
              </w:rPr>
            </w:pPr>
            <w:r>
              <w:rPr>
                <w:rFonts w:hint="default" w:ascii="仿宋_GB2312" w:hAnsi="Calibri" w:eastAsia="仿宋_GB2312" w:cs="仿宋_GB2312"/>
                <w:sz w:val="24"/>
                <w:szCs w:val="24"/>
                <w:bdr w:val="none" w:color="auto" w:sz="0" w:space="0"/>
              </w:rPr>
              <w:t>（签章）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45" w:right="0" w:firstLine="1"/>
              <w:jc w:val="center"/>
              <w:rPr>
                <w:rFonts w:hint="default" w:ascii="Calibri" w:hAnsi="Calibri" w:cs="Calibri"/>
                <w:sz w:val="21"/>
                <w:szCs w:val="21"/>
              </w:rPr>
            </w:pPr>
            <w:r>
              <w:rPr>
                <w:rFonts w:hint="default" w:ascii="仿宋_GB2312" w:hAnsi="Calibri" w:eastAsia="仿宋_GB2312" w:cs="仿宋_GB2312"/>
                <w:sz w:val="24"/>
                <w:szCs w:val="24"/>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注：1.上年末员工总数、上年度末资产评估师总数、上年末净资产、上一年度资产评估业务收入、上一年度业务收入、上一年度证券服务业务收入、保险合同有效期内职业保险累计赔偿限额、累计职业风险基金、资产评估师与员工总数变动情况均包含分公司但不包含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2.收入金额不含增值税。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3.电话应包含固定电话和手机号码。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4.注册地填写到地级市。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5.分支机构包括分公司、子公司等。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6.自律监管措施、纪律处分包括行业协会自律惩戒、交易所自律监管措施与交易所纪律处分。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仿宋_GB2312" w:hAnsi="Calibri" w:eastAsia="仿宋_GB2312" w:cs="仿宋_GB2312"/>
          <w:sz w:val="24"/>
          <w:szCs w:val="24"/>
          <w:bdr w:val="none" w:color="auto" w:sz="0" w:space="0"/>
        </w:rPr>
        <w:t>7.本表应附上一年度财务报表审计报告和职业保险保单复印件（如有），以及从事证券服务业务质量控制制度执行情况和变动情况说明。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2617B"/>
    <w:rsid w:val="5802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2020-12-12T02:38:00Z</dcterms:created>
  <dc:creator>CRAZY</dc:creator>
  <cp:lastModifiedBy>CRAZY</cp:lastModifiedBy>
  <dcterms:modified xsi:type="dcterms:W3CDTF">2020-12-12T02:42:03Z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